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narcad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Oristan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